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中华人民共和国主席令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第五十九号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42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《中华人民共和国中医药法》已由中华人民共和国第十二届全国人民代表大会常务委员会第二十五次会议于2016年12月25日通过，现予公布，自2017年7月1日起施行。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right"/>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中华人民共和国主席 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right"/>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2016年12月25日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中华人民共和国中医药法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第二章  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第三章  中药保护与发展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第四章  中医药人才培养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第五章  中医药科学研究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第六章  中医药传承与文化传播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第七章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第一章  总   则</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为了继承和弘扬中医药，保障和促进中医药事业发展，保护人民健康，制定本法。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本法所称中医药，是包括汉族和少数民族医药在内的我国各民族医药的统称，是反映中华民族对生命、健康和疾病的认识，具有悠久历史传统和独特理论及技术方法的医药学体系。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中医药事业是我国医药卫生事业的重要组成部分。国家大力发展中医药事业，实行中西医并重的方针，建立符合中医药特点的管理制度，充分发挥中医药在我国医药卫生事业中的作用。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发展中医药事业应当遵循中医药发展规律，坚持继承和创新相结合，保持和发挥中医药特色和优势，运用现代科学技术，促进中医药理论和实践的发展。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国家鼓励中医西医相互学习，相互补充，协调发展，发挥各自优势，促进中西医结合。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县级以上人民政府应当将中医药事业纳入国民经济和社会发展规划，建立健全中医药管理体系，统筹推进中医药事业发展。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国务院中医药主管部门负责全国的中医药管理工作。国务院其他有关部门在各自职责范围内负责与中医药管理有关的工作。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县级以上地方人民政府中医药主管部门负责本行政区域的中医药管理工作。县级以上地方人民政府其他有关部门在各自职责范围内负责与中医药管理有关的工作。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国家加强中医药服务体系建设，合理规划和配置中医药服务资源，为公民获得中医药服务提供保障。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国家支持社会力量投资中医药事业，支持组织和个人捐赠、资助中医药事业。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国家发展中医药教育，建立适应中医药事业发展需要、规模适宜、结构合理、形式多样的中医药教育体系，培养中医药人才。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国家支持中医药科学研究和技术开发，鼓励中医药科学技术创新，推广应用中医药科学技术成果，保护中医药知识产权，提高中医药科学技术水平。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国家支持中医药对外交流与合作，促进中医药的国际传播和应用。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对在中医药事业中做出突出贡献的组织和个人，按照国家有关规定给予表彰、奖励。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第二章  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县级以上人民政府应当将中医医疗机构建设纳入医疗机构设置规划，举办规模适宜的中医医疗机构，扶持有中医药特色和优势的医疗机构发展。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合并、撤销政府举办的中医医疗机构或者改变其中医医疗性质，应当征求上一级人民政府中医药主管部门的意见。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政府举办的综合医院、妇幼保健机构和有条件的专科医院、社区卫生服务中心、乡镇卫生院，应当设置中医药科室。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县级以上人民政府应当采取措施，增强社区卫生服务站和村卫生室提供中医药服务的能力。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国家支持社会力量举办中医医疗机构。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社会力量举办的中医医疗机构在准入、执业、基本医疗保险、科研教学、医务人员职称评定等方面享有与政府举办的中医医疗机构同等的权利。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举办中医医疗机构应当按照国家有关医疗机构管理的规定办理审批手续，并遵守医疗机构管理的有关规定。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从事中医医疗活动的人员应当依照《中华人民共和国执业医师法》的规定，通过中医医师资格考试取得中医医师资格，并进行执业注册。中医医师资格考试的内容应当体现中医药特点。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社区卫生服务中心、乡镇卫生院、社区卫生服务站以及有条件的村卫生室应当合理配备中医药专业技术人员，并运用和推广适宜的中医药技术方法。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开展中医药服务，应当以中医药理论为指导，运用中医药技术方法，并符合国务院中医药主管部门制定的中医药服务基本要求。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县级以上人民政府应当发展中医药预防、保健服务，并按照国家有关规定将其纳入基本公共卫生服务项目统筹实施。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县级以上人民政府应当发挥中医药在突发公共卫生事件应急工作中的作用，加强中医药应急物资、设备、设施、技术与人才资源储备。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医疗卫生机构应当在疾病预防与控制中积极运用中医药理论和技术方法。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第十九条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县级以上人民政府中医药主管部门应当加强对中医药服务的监督检查，并将下列事项作为监督检查的重点：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（一）中医医疗机构、中医医师是否超出规定的范围开展医疗活动；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（二）开展中医药服务是否符合国务院中医药主管部门制定的中医药服务基本要求；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（三）中医医疗广告发布行为是否符合本法的规定。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中医药主管部门依法开展监督检查，有关单位和个人应当予以配合，不得拒绝或者阻挠。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第三章  中药保护与发展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国家制定中药材种植养殖、采集、贮存和初加工的技术规范、标准，加强对中药材生产流通全过程的质量监督管理，保障中药材质量安全。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国家鼓励发展中药材规范化种植养殖，严格管理农药、肥料等农业投入品的使用，禁止在中药材种植过程中使用剧毒、高毒农药，支持中药材良种繁育，提高中药材质量。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国家建立道地中药材评价体系，支持道地中药材品种选育，扶持道地中药材生产基地建设，加强道地中药材生产基地生态环境保护，鼓励采取地理标志产品保护等措施保护道地中药材。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前款所称道地中药材，是指经过中医临床长期应用优选出来的，产在特定地域，与其他地区所产同种中药材相比，品质和疗效更好，且质量稳定，具有较高知名度的中药材。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国务院药品监督管理部门应当组织并加强对中药材质量的监测，定期向社会公布监测结果。国务院有关部门应当协助做好中药材质量监测有关工作。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采集、贮存中药材以及对中药材进行初加工，应当符合国家有关技术规范、标准和管理规定。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保护药用野生动植物资源，对药用野生动植物资源实行动态监测和定期普查，建立药用野生动植物资源种质基因库，鼓励发展人工种植养殖，支持依法开展珍贵、濒危药用野生动植物的保护、繁育及其相关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在村医疗机构执业的中医医师、具备中药材知识和识别能力的乡村医生，按照国家有关规定可以自种、自采地产中药材并在其执业活动中使用。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国家保护中药饮片传统炮制技术和工艺，支持应用传统工艺炮制中药饮片，鼓励运用现代科学技术开展中药饮片炮制技术研究。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根据临床用药需要，医疗机构可以凭本医疗机构医师的处方对中药饮片进行再加工。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第二十九条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国家鼓励和支持中药新药的研制和生产。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国家保护传统中药加工技术和工艺，支持传统剂型中成药的生产，鼓励运用现代科学技术研究开发传统中成药。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生产符合国家规定条件的来源于古代经典名方的中药复方制剂，在申请药品批准文号时，可以仅提供非临床安全性研究资料。具体管理办法由国务院药品监督管理部门会同中医药主管部门制定。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前款所称古代经典名方，是指至今仍广泛应用、疗效确切、具有明显特色与优势的古代中医典籍所记载的方剂。具体目录由国务院中医药主管部门会同药品监督管理部门制定。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国家鼓励医疗机构根据本医疗机构临床用药需要配制和使用中药制剂，支持应用传统工艺配制中药制剂，支持以中药制剂为基础研制中药新药。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医疗机构对其配制的中药制剂的质量负责；委托配制中药制剂的，委托方和受托方对所配制的中药制剂的质量分别承担相应责任。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医疗机构应当加强对备案的中药制剂品种的不良反应监测，并按照国家有关规定进行报告。药品监督管理部门应当加强对备案的中药制剂品种配制、使用的监督检查。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第四章  中医药人才培养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中医药教育应当遵循中医药人才成长规律，以中医药内容为主，体现中医药文化特色，注重中医药经典理论和中医药临床实践、现代教育方式和传统教育方式相结合。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国家完善中医药学校教育体系，支持专门实施中医药教育的高等学校、中等职业学校和其他教育机构的发展。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中医药学校教育的培养目标、修业年限、教学形式、教学内容、教学评价及学术水平评价标准等，应当体现中医药学科特色，符合中医药学科发展规律。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国家发展中医药师承教育，支持有丰富临床经验和技术专长的中医医师、中药专业技术人员在执业、业务活动中带徒授业，传授中医药理论和技术方法，培养中医药专业技术人员。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国家加强对中医医师和城乡基层中医药专业技术人员的培养和培训。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国家发展中西医结合教育，培养高层次的中西医结合人才。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县级以上地方人民政府中医药主管部门应当组织开展中医药继续教育，加强对医务人员，特别是城乡基层医务人员中医药基本知识和技能的培训。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中医药专业技术人员应当按照规定参加继续教育，所在机构应当为其接受继续教育创造条件。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第五章  中医药科学研究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国家鼓励科研机构、高等学校、医疗机构和药品生产企业等，运用现代科学技术和传统中医药研究方法，开展中医药科学研究，加强中西医结合研究，促进中医药理论和技术方法的继承和创新。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第三十九条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国家采取措施支持对中医药古籍文献、著名中医药专家的学术思想和诊疗经验以及民间中医药技术方法的整理、研究和利用。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国家鼓励组织和个人捐献有科学研究和临床应用价值的中医药文献、秘方、验方、诊疗方法和技术。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国家建立和完善符合中医药特点的科学技术创新体系、评价体系和管理体制，推动中医药科学技术进步与创新。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国家采取措施，加强对中医药基础理论和辨证论治方法，常见病、多发病、慢性病和重大疑难疾病、重大传染病的中医药防治，以及其他对中医药理论和实践发展有重大促进作用的项目的科学研究。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第六章  中医药传承与文化传播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国家建立中医药传统知识保护数据库、保护名录和保护制度。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中医药传统知识持有人对其持有的中医药传统知识享有传承使用的权利，对他人获取、利用其持有的中医药传统知识享有知情同意和利益分享等权利。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国家对经依法认定属于国家秘密的传统中药处方组成和生产工艺实行特殊保护。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国家发展中医养生保健服务，支持社会力量举办规范的中医养生保健机构。中医养生保健服务规范、标准由国务院中医药主管部门制定。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县级以上人民政府应当加强中医药文化宣传，普及中医药知识，鼓励组织和个人创作中医药文化和科普作品。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开展中医药文化宣传和知识普及活动，应当遵守国家有关规定。任何组织或者个人不得对中医药作虚假、夸大宣传，不得冒用中医药名义牟取不正当利益。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广播、电视、报刊、互联网等媒体开展中医药知识宣传，应当聘请中医药专业技术人员进行。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第七章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县级以上人民政府应当为中医药事业发展提供政策支持和条件保障，将中医药事业发展经费纳入本级财政预算。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县级以上人民政府及其有关部门制定基本医疗保险支付政策、药物政策等医药卫生政策，应当有中医药主管部门参加，注重发挥中医药的优势，支持提供和利用中医药服务。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县级以上人民政府及其有关部门应当按照法定价格管理权限，合理确定中医医疗服务的收费项目和标准，体现中医医疗服务成本和专业技术价值。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第四十九条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国家加强中医药标准体系建设，根据中医药特点对需要统一的技术要求制定标准并及时修订。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中医药国家标准、行业标准由国务院有关部门依据职责制定或者修订，并在其网站上公布，供公众免费查阅。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国家推动建立中医药国际标准体系。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开展法律、行政法规规定的与中医药有关的评审、评估、鉴定活动，应当成立中医药评审、评估、鉴定的专门组织，或者有中医药专家参加。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国家采取措施，加大对少数民族医药传承创新、应用发展和人才培养的扶持力度，加强少数民族医疗机构和医师队伍建设，促进和规范少数民族医药事业发展。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县级以上人民政府中医药主管部门及其他有关部门未履行本法规定的职责的，由本级人民政府或者上级人民政府有关部门责令改正；情节严重的，对直接负责的主管人员和其他直接责任人员，依法给予处分。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第五十四条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违反本法规定，中医诊所超出备案范围开展医疗活动的，由所在地县级人民政府中医药主管部门责令改正，没收违法所得，并处一万元以上三万元以下罚款；情节严重的，责令停止执业活动。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第五十五条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第五十六条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医疗机构应用传统工艺配制中药制剂未依照本法规定备案，或者未按照备案材料载明的要求配制中药制剂的，按生产假药给予处罚。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第五十七条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违反本法规定，发布的中医医疗广告内容与经审查批准的内容不相符的，由原审查部门撤销该广告的审查批准文件，一年内不受理该医疗机构的广告审查申请。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违反本法规定，发布中医医疗广告有前款规定以外违法行为的，依照《中华人民共和国广告法》的规定给予处罚。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第五十八条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违反本法规定，在中药材种植过程中使用剧毒、高毒农药的，依照有关法律、法规规定给予处罚；情节严重的，可以由公安机关对其直接负责的主管人员和其他直接责任人员处五日以上十五日以下拘留。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3E3E3E"/>
          <w:spacing w:val="0"/>
          <w:sz w:val="28"/>
          <w:szCs w:val="28"/>
          <w:bdr w:val="none" w:color="auto" w:sz="0" w:space="0"/>
          <w:shd w:val="clear" w:fill="FFFFFF"/>
        </w:rPr>
        <w:t>第五十九条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违反本法规定，造成人身、财产损害的，依法承担民事责任；构成犯罪的，依法追究刑事责任。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center"/>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第六十条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中医药的管理，本法未作规定的，适用《中华人民共和国执业医师法》、《中华人民共和国药品管理法》等相关法律、行政法规的规定。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Fonts w:hint="eastAsia" w:asciiTheme="minorEastAsia" w:hAnsiTheme="minorEastAsia" w:eastAsiaTheme="minorEastAsia" w:cstheme="minorEastAsia"/>
          <w:caps w:val="0"/>
          <w:color w:val="3E3E3E"/>
          <w:spacing w:val="0"/>
          <w:sz w:val="28"/>
          <w:szCs w:val="28"/>
          <w:bdr w:val="none" w:color="auto" w:sz="0" w:space="0"/>
          <w:shd w:val="clear" w:fill="FFFFFF"/>
        </w:rPr>
        <w:t>军队的中医药管理，由军队卫生主管部门依照本法和军队有关规定组织实施。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第六十一条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民族自治地方可以根据《中华人民共和国民族区域自治法》和本法的有关规定，结合实际，制定促进和规范本地方少数民族医药事业发展的办法。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第六十二条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盲人按照国家有关规定取得盲人医疗按摩人员资格的，可以以个人开业的方式或者在医疗机构内提供医疗按摩服务。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rPr>
          <w:rFonts w:hint="eastAsia" w:asciiTheme="minorEastAsia" w:hAnsiTheme="minorEastAsia" w:eastAsiaTheme="minorEastAsia" w:cstheme="minorEastAsia"/>
          <w:caps w:val="0"/>
          <w:color w:val="3E3E3E"/>
          <w:spacing w:val="0"/>
          <w:sz w:val="28"/>
          <w:szCs w:val="28"/>
        </w:rPr>
      </w:pPr>
      <w:r>
        <w:rPr>
          <w:rStyle w:val="6"/>
          <w:rFonts w:hint="eastAsia" w:asciiTheme="minorEastAsia" w:hAnsiTheme="minorEastAsia" w:eastAsiaTheme="minorEastAsia" w:cstheme="minorEastAsia"/>
          <w:b/>
          <w:caps w:val="0"/>
          <w:color w:val="007AAA"/>
          <w:spacing w:val="0"/>
          <w:sz w:val="28"/>
          <w:szCs w:val="28"/>
          <w:bdr w:val="none" w:color="auto" w:sz="0" w:space="0"/>
          <w:shd w:val="clear" w:fill="FFFFFF"/>
        </w:rPr>
        <w:t>第六十三条</w:t>
      </w:r>
      <w:r>
        <w:rPr>
          <w:rFonts w:hint="eastAsia" w:asciiTheme="minorEastAsia" w:hAnsiTheme="minorEastAsia" w:eastAsiaTheme="minorEastAsia" w:cstheme="minorEastAsia"/>
          <w:caps w:val="0"/>
          <w:color w:val="3E3E3E"/>
          <w:spacing w:val="0"/>
          <w:sz w:val="28"/>
          <w:szCs w:val="28"/>
          <w:bdr w:val="none" w:color="auto" w:sz="0" w:space="0"/>
          <w:shd w:val="clear" w:fill="FFFFFF"/>
        </w:rPr>
        <w:t> 本法自2017年7月1日起施行。</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F4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jc w:val="left"/>
    </w:pPr>
    <w:rPr>
      <w:rFonts w:hint="eastAsia" w:ascii="宋体" w:hAnsi="宋体" w:eastAsia="宋体" w:cs="宋体"/>
      <w:b/>
      <w:kern w:val="0"/>
      <w:sz w:val="45"/>
      <w:szCs w:val="45"/>
      <w:lang w:val="en-US" w:eastAsia="zh-CN" w:bidi="ar"/>
    </w:rPr>
  </w:style>
  <w:style w:type="character" w:default="1" w:styleId="5">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Emphasis"/>
    <w:basedOn w:val="5"/>
    <w:qFormat/>
    <w:uiPriority w:val="0"/>
  </w:style>
  <w:style w:type="character" w:styleId="9">
    <w:name w:val="HTML Definition"/>
    <w:basedOn w:val="5"/>
    <w:uiPriority w:val="0"/>
    <w:rPr>
      <w:i/>
    </w:rPr>
  </w:style>
  <w:style w:type="character" w:styleId="10">
    <w:name w:val="Hyperlink"/>
    <w:basedOn w:val="5"/>
    <w:uiPriority w:val="0"/>
    <w:rPr>
      <w:color w:val="337AB7"/>
      <w:u w:val="none"/>
    </w:rPr>
  </w:style>
  <w:style w:type="character" w:styleId="11">
    <w:name w:val="HTML Code"/>
    <w:basedOn w:val="5"/>
    <w:uiPriority w:val="0"/>
    <w:rPr>
      <w:rFonts w:hint="default" w:ascii="Menlo" w:hAnsi="Menlo" w:eastAsia="Menlo" w:cs="Menlo"/>
      <w:color w:val="C7254E"/>
      <w:sz w:val="21"/>
      <w:szCs w:val="21"/>
      <w:bdr w:val="none" w:color="auto" w:sz="0" w:space="0"/>
      <w:shd w:val="clear" w:fill="F9F2F4"/>
    </w:rPr>
  </w:style>
  <w:style w:type="character" w:styleId="12">
    <w:name w:val="HTML Cite"/>
    <w:basedOn w:val="5"/>
    <w:uiPriority w:val="0"/>
  </w:style>
  <w:style w:type="character" w:styleId="13">
    <w:name w:val="HTML Keyboard"/>
    <w:basedOn w:val="5"/>
    <w:uiPriority w:val="0"/>
    <w:rPr>
      <w:rFonts w:ascii="Menlo" w:hAnsi="Menlo" w:eastAsia="Menlo" w:cs="Menlo"/>
      <w:color w:val="FFFFFF"/>
      <w:sz w:val="21"/>
      <w:szCs w:val="21"/>
      <w:bdr w:val="none" w:color="auto" w:sz="0" w:space="0"/>
      <w:shd w:val="clear" w:fill="333333"/>
    </w:rPr>
  </w:style>
  <w:style w:type="character" w:styleId="14">
    <w:name w:val="HTML Sample"/>
    <w:basedOn w:val="5"/>
    <w:uiPriority w:val="0"/>
    <w:rPr>
      <w:rFonts w:hint="default" w:ascii="Menlo" w:hAnsi="Menlo" w:eastAsia="Menlo" w:cs="Menl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Administrator.USER-20161209SM</dc:creator>
  <cp:lastModifiedBy>Administrator</cp:lastModifiedBy>
  <dcterms:modified xsi:type="dcterms:W3CDTF">2017-06-22T03:02:46Z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